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3055a774c48ad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12743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OSNOVNA ŠKOLA VJEKOSLAVA KALEBA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849.383,02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934.753,91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110,1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928.953,17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931.274,81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3.479,10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10.344,77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16.495,73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159,5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10.344,77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16.495,73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159,5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89.914,92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13.016,63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14,5</w:t>
            </w:r>
          </w:p>
        </w:tc>
      </w:tr>
    </w:tbl>
    <w:p>
      <w:pPr>
        <w:spacing w:before="0" w:after="0"/>
      </w:pPr>
    </w:p>
    <w:p>
      <w:r>
        <w:t xml:space="preserve">OŠ Vjekoslava Kaleba u razdoblju od 1. siječnja do 30. rujna 2026. godine ostvarila je ukupne prihode poslovanja u iznosu od 934.753,91 EUR (Šifra 6), što je za 10,1 % više u odnosu na isto razdoblje prethodne godine. Ukupni rashodi poslovanja iznose 931.274,81 EUR (Šifra 3), što je za 0,2 % više u odnosu na isto razdoblje prethodne godine. Ostvaren je višak prihoda poslovanja u iznosu od 3.479,10 EUR (Šifra X001).</w:t>
      </w:r>
    </w:p>
    <w:p>
      <w:r>
        <w:t xml:space="preserve">Prihodi od prodaje nefinancijske imovine nisu ostvareni (Šifra 7), dok rashodi za nabavu nefinancijske imovine iznose 16.495,73 EUR (Šifra 4), što rezultira manjkom prihoda od nefinancijske imovine (Šifra Y002) u istom iznosu. Primici od financijske imovine i zaduživanja te izdaci za financijsku imovinu (Šifra 8) i otplate zajmova (Šifra 5) nisu ostvareni. Ukupno je u izvještajnom razdoblju iskazan manjak prihoda i primitaka (Šifra Y005) u iznosu od 13.016,63 EUR.</w:t>
      </w:r>
    </w:p>
    <w:p>
      <w:r>
        <w:t xml:space="preserve">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849.383,02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934.753,91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110,1</w:t>
            </w:r>
          </w:p>
        </w:tc>
      </w:tr>
    </w:tbl>
    <w:p>
      <w:pPr>
        <w:spacing w:before="0" w:after="0"/>
      </w:pPr>
    </w:p>
    <w:p>
      <w:r>
        <w:t xml:space="preserve">Prihodi su povećani za 10,1% u odnosu na isto razdbolje prethodne godine. Do navedenog rasta došlo je zbog ostvarenih dodatnih sredstava za provedbu projekata, koja su školi odobrena i uplaćena tijekom navedenog razdoblja.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proračunskim korisnicima iz proračuna koji im nije nadležan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755.585,65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845.385,90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111,9</w:t>
            </w:r>
          </w:p>
        </w:tc>
      </w:tr>
    </w:tbl>
    <w:p>
      <w:pPr>
        <w:spacing w:before="0" w:after="0"/>
      </w:pPr>
    </w:p>
    <w:p>
      <w:r>
        <w:t xml:space="preserve">Prihodi su povećani za 11,9% u odnosu na isto razdbolje prethodne godine. Do navedenog rasta došlo je zbog ostvarenih dodatnih sredstava za nacionalnu prehranu učenika, plaće i materijalna prava zaposlenika.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proračunskim korisnicima iz proračuna koji im nije nadležan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3.142,05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Prihodi su povećani za 100% u odnosu na isto razdbolje prethodne godine. Do navedenog rasta došlo je zbog ostvarenih dodatnih sredstava za standardizirane psihološke i edukacijsko-rehabilitacijske testove koje Ministarstvo financira ili odobrava za stručne suradnike (psihologe, pedagoge, logopede) u školama radi procjene učenika - psihodijagnostička sredstva (PDS) i sufinanciranje projekata i programa rada s darovitim učenicima u osnovnim i srednjim školama u školskoj godini 2025./2026. - Ti(sno) vezani, talentom povezani.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pruženih usluga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1.709,75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1.380,00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80,7</w:t>
            </w:r>
          </w:p>
        </w:tc>
      </w:tr>
    </w:tbl>
    <w:p>
      <w:pPr>
        <w:spacing w:before="0" w:after="0"/>
      </w:pPr>
    </w:p>
    <w:p>
      <w:r>
        <w:t xml:space="preserve">Prihodi su smanjeni za 19,3% u odnosu na isto razdoblje prethodne godine. Razlozi manjeg ostvarenja prihoda su smanjen broj upisanih učenika u odjel Glazbene škole, odustajanje pojedinih učenika tijekom školske godine te činjenica da većina učenika posjeduje vlastite instrumente, zbog čega nema potrebe za njihovim najmom.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83.731,07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76.568,15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91,4</w:t>
            </w:r>
          </w:p>
        </w:tc>
      </w:tr>
    </w:tbl>
    <w:p>
      <w:pPr>
        <w:spacing w:before="0" w:after="0"/>
      </w:pPr>
    </w:p>
    <w:p>
      <w:r>
        <w:t xml:space="preserve">Prihodi su smanjeni za 8,6% u odnosu na isto razdoblje prethodne godine. Manje ostvarenje prihoda rezultat je smanjenja decentraliziranih sredstava osnivača i sredstava za operativni plan.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928.953,17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931.274,81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100,2</w:t>
            </w:r>
          </w:p>
        </w:tc>
      </w:tr>
    </w:tbl>
    <w:p>
      <w:pPr>
        <w:spacing w:before="0" w:after="0"/>
      </w:pPr>
    </w:p>
    <w:p>
      <w:r>
        <w:t xml:space="preserve">Rashodi su povećani za 0,2% u odnosu na isto razdoblje prethodne godine. Do povećanja je došlo zbog viših troškova evidentiranih na kontima 312 - Ostali rashodi za zaposlene, 321 - Naknade troškova zaposlenima, 322 - Rashodi za materijal i energiju i 329 - Ostali nespomenuti rashodi poslovanja.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Uredski materijal i ostali materijalni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3.910,24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7.441,34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190,3</w:t>
            </w:r>
          </w:p>
        </w:tc>
      </w:tr>
    </w:tbl>
    <w:p>
      <w:pPr>
        <w:spacing w:before="0" w:after="0"/>
      </w:pPr>
    </w:p>
    <w:p>
      <w:r>
        <w:t xml:space="preserve">Povećanje je rezultat veće nabave i potrošnje za uredski materijal i ostale materijalne rashode za provedbu raznih projekata.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Energija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7.572,79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9.912,96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130,9</w:t>
            </w:r>
          </w:p>
        </w:tc>
      </w:tr>
    </w:tbl>
    <w:p>
      <w:pPr>
        <w:spacing w:before="0" w:after="0"/>
      </w:pPr>
    </w:p>
    <w:p>
      <w:r>
        <w:t xml:space="preserve">Povećanje je rezultat porasta cijena energenata.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dijelovi za tekuće i investicijsko održavanje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1.172,09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1.407,41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120,1</w:t>
            </w:r>
          </w:p>
        </w:tc>
      </w:tr>
    </w:tbl>
    <w:p>
      <w:pPr>
        <w:spacing w:before="0" w:after="0"/>
      </w:pPr>
    </w:p>
    <w:p>
      <w:r>
        <w:t xml:space="preserve">Povećanje je rezultat veće nabave i potrošnje za održavanje školske zgrade i opreme.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Službena, radna i zaštitna odjeća i obuća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362,85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495,87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136,7</w:t>
            </w:r>
          </w:p>
        </w:tc>
      </w:tr>
    </w:tbl>
    <w:p>
      <w:pPr>
        <w:spacing w:before="0" w:after="0"/>
      </w:pPr>
    </w:p>
    <w:p>
      <w:r>
        <w:t xml:space="preserve">Povećanje rashoda zbog viših cijena nabave službene, radne i zaštitne odjeće i obuće za domara, spremačice i operativne djelatnike za sigurnost i civilnu zaštitu.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228,74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957,03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418,4</w:t>
            </w:r>
          </w:p>
        </w:tc>
      </w:tr>
    </w:tbl>
    <w:p>
      <w:pPr>
        <w:spacing w:before="0" w:after="0"/>
      </w:pPr>
    </w:p>
    <w:p>
      <w:r>
        <w:t xml:space="preserve">Povećanje rashoda odnosi se na održavanje opreme za grijanje, ventilaciju i hlađenje.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Zdravstvene i veterinarske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2.880,00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130,9</w:t>
            </w:r>
          </w:p>
        </w:tc>
      </w:tr>
    </w:tbl>
    <w:p>
      <w:pPr>
        <w:spacing w:before="0" w:after="0"/>
      </w:pPr>
    </w:p>
    <w:p>
      <w:r>
        <w:t xml:space="preserve">Povećanje prihoda za obvezne i preventivne zdravstvene preglede zaposlenika.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Računalne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3.126,25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1.733,45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55,4</w:t>
            </w:r>
          </w:p>
        </w:tc>
      </w:tr>
    </w:tbl>
    <w:p>
      <w:pPr>
        <w:spacing w:before="0" w:after="0"/>
      </w:pPr>
    </w:p>
    <w:p>
      <w:r>
        <w:t xml:space="preserve">Manji troškovi računalnih usluga, održavanja i manje potrebe za tehničkom podrškom.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Reprezentacija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1.251,50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1.798,90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143,7</w:t>
            </w:r>
          </w:p>
        </w:tc>
      </w:tr>
    </w:tbl>
    <w:p>
      <w:pPr>
        <w:spacing w:before="0" w:after="0"/>
      </w:pPr>
    </w:p>
    <w:p>
      <w:r>
        <w:t xml:space="preserve">Povećanju rashoda pridonijelo je poskupljenje namirnica i ugostiteljskih usluga potrebnih za organizaciju različitih obilježavanja i gostovanja u školi tijekom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475,95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16.213,75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3406,6</w:t>
            </w:r>
          </w:p>
        </w:tc>
      </w:tr>
    </w:tbl>
    <w:p>
      <w:pPr>
        <w:spacing w:before="0" w:after="0"/>
      </w:pPr>
    </w:p>
    <w:p>
      <w:r>
        <w:t xml:space="preserve">Općina Tisno sufinancirala je nabavu radnih bilježnica, dodatnih obrazovnih materijala i školskog pribora za učenike u školskoj godini 2026./2027., što je rezultiralo povećanjem rashoda.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10.344,77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16.495,73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159,5</w:t>
            </w:r>
          </w:p>
        </w:tc>
      </w:tr>
    </w:tbl>
    <w:p>
      <w:pPr>
        <w:spacing w:before="0" w:after="0"/>
      </w:pPr>
    </w:p>
    <w:p>
      <w:r>
        <w:t xml:space="preserve">Rashodi su se povećali zbog nabave uredske opreme i namještaja te knjiga za potrebe učenika škole, s ciljem poboljšanja uvjeta rada, unapređenja nastave i osiguravanja potrebnih sredstava za učenike i zaposlenike.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Knjige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8.167,04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14.160,54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173,4</w:t>
            </w:r>
          </w:p>
        </w:tc>
      </w:tr>
    </w:tbl>
    <w:p>
      <w:pPr>
        <w:spacing w:before="0" w:after="0"/>
      </w:pPr>
    </w:p>
    <w:p>
      <w:r>
        <w:t xml:space="preserve">Povećanje rashoda odnosi se na nabavu novih udžbenika za sve učenike škole, čiju nabavu sufinancira nadležno Ministarstvo.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od nefinancijske imovine - preneseni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12.066,78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16.655,97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138,0</w:t>
            </w:r>
          </w:p>
        </w:tc>
      </w:tr>
    </w:tbl>
    <w:p>
      <w:pPr>
        <w:spacing w:before="0" w:after="0"/>
      </w:pPr>
    </w:p>
    <w:p>
      <w:r>
        <w:t xml:space="preserve">Povećanje se najvećim dijelom odnosi na ulaganje u nabavu ili obnovu nefinancijske imovine u navedenom razdoblju.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11-dugov.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Ukupni priljevi na novčane račune i blagajne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11-dugov.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10.066,30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41.242,11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409,7</w:t>
            </w:r>
          </w:p>
        </w:tc>
      </w:tr>
    </w:tbl>
    <w:p>
      <w:pPr>
        <w:spacing w:before="0" w:after="0"/>
      </w:pPr>
    </w:p>
    <w:p>
      <w:r>
        <w:t xml:space="preserve">Povećanje priljeva posljedica je većeg opsega financijskih transakcija tijekom izvještajnog razdoblja.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11-potraž.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Ukupni odljevi s novčanih računa i blagajni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11-potraž.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10.066,30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41.242,11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409,7</w:t>
            </w:r>
          </w:p>
        </w:tc>
      </w:tr>
    </w:tbl>
    <w:p>
      <w:pPr>
        <w:spacing w:before="0" w:after="0"/>
      </w:pPr>
    </w:p>
    <w:p>
      <w:r>
        <w:t xml:space="preserve">Povećanje odljeva posljedica je većeg opsega financijskih transakcija tijekom izvještajnog razdoblja.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iz državnog proračuna proračunskim korisnicima proračuna JLP(R)S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751.180,46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828.380,08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110,3</w:t>
            </w:r>
          </w:p>
        </w:tc>
      </w:tr>
    </w:tbl>
    <w:p>
      <w:pPr>
        <w:spacing w:before="0" w:after="0"/>
      </w:pPr>
    </w:p>
    <w:p>
      <w:r>
        <w:t xml:space="preserve">Do navedenog rasta prihoda došlo je zbog ostvarenih dodatnih sredstava za nacionalnu prehranu učenika, plaće i materijalna prava zaposlenika.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proračunskim korisnicima iz proračuna JLP(R)S koji im nije nadležan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4.405,19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17.005,82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386,0</w:t>
            </w:r>
          </w:p>
        </w:tc>
      </w:tr>
    </w:tbl>
    <w:p>
      <w:pPr>
        <w:spacing w:before="0" w:after="0"/>
      </w:pPr>
    </w:p>
    <w:p>
      <w:r>
        <w:t xml:space="preserve">Do navedenog rasta prihoda došlo je zbog ostvarenih dodatnih sredstava za putne troškove suradnika Glazbene škole angažiranih po ugovoru o djelu i nabavu radnih bilježnica, dodatnih obrazovnih materijala i školskog pribora za učenike u školskoj godini 2026./2027.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bolest, invalidnost i smrtni slučaj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1.324,32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882,88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66,7</w:t>
            </w:r>
          </w:p>
        </w:tc>
      </w:tr>
    </w:tbl>
    <w:p>
      <w:pPr>
        <w:spacing w:before="0" w:after="0"/>
      </w:pPr>
    </w:p>
    <w:p>
      <w:r>
        <w:t xml:space="preserve">Smanjenje rashoda za materijalna prava zaposlenika – naknade za bolovanje, invalidnost i smrtni slučaj.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Obvezni i preventivni zdravstveni pregledi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2.880,00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130,9</w:t>
            </w:r>
          </w:p>
        </w:tc>
      </w:tr>
    </w:tbl>
    <w:p>
      <w:pPr>
        <w:spacing w:before="0" w:after="0"/>
      </w:pPr>
    </w:p>
    <w:p>
      <w:r>
        <w:t xml:space="preserve">Povećanje prihoda se dogodilo zbog većeg broja obveznih i preventivnih zdravstvenih pregleda zaposlenika tijekom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Ugovori o djelu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2.657,51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1.407,28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53,0</w:t>
            </w:r>
          </w:p>
        </w:tc>
      </w:tr>
    </w:tbl>
    <w:p>
      <w:pPr>
        <w:spacing w:before="0" w:after="0"/>
      </w:pPr>
    </w:p>
    <w:p>
      <w:r>
        <w:t xml:space="preserve">Smanjenje rashoda za usluge vanjskih suradnika koji se angažiraju putem ugovora o djelu, sukladno smanjenim potrebama škole.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Osnovnoj školi Vjekoslava Kaleba odobrena su bespovratna sredstva u iznosu od 46.281,26 eura za provedbu projekta „Aktivna škola – sretno dijete“, sufinanciranog sredstvima Europske unije iz Europskog socijalnog fonda plus (ESF+), u okviru Programa Učinkoviti ljudski potencijali 2021.–2027. </w:t>
      </w:r>
    </w:p>
    <w:p>
      <w:r>
        <w:t xml:space="preserve">Bespovratna sredstva osigurana su u sljedećem omjeru: </w:t>
      </w:r>
    </w:p>
    <w:p>
      <w:r>
        <w:t xml:space="preserve">Europski socijalni fond plus (ESF+): 85 % = 39.339,07 EUR .</w:t>
      </w:r>
    </w:p>
    <w:p>
      <w:r>
        <w:t xml:space="preserve">Nacionalno sufinanciranje (državni proračun RH): 15 % = 6.942,19 EUR,  </w:t>
      </w:r>
    </w:p>
    <w:p>
      <w:r>
        <w:t xml:space="preserve">Projekt je odobren u okviru Poziva „Podrška osnovnim školama za provedbu izvannastavnih aktivnosti kao pripreme za program cjelodnevne škole“ (SF.2.4.06.09.), a provodit će se tijekom 22 mjeseca.</w:t>
      </w:r>
    </w:p>
    <w:p>
      <w:r>
        <w:t xml:space="preserve">Ugovor je potpisan 25. kolovoza 2026. godine.</w:t>
      </w:r>
    </w:p>
    <w:p>
      <w:r>
        <w:t xml:space="preserve">Cilj projekta je unaprijediti kvalitetu, dostupnost i raznovrsnost izvannastavnih aktivnosti te stvoriti poticajno, uključivo i suvremeno okruženje za razvoj potencijala učenika i pripremu škole za program cjelodnevne škole. Kroz raznovrsne izvannastavne sadržaje učenicima će se omogućiti razvoj ključnih kompetencija za cjeloživotno učenje, kreativnosti, digitalnih i STEM kompetencija, kulturnog i umjetničkog izražavanja, zdravih životnih navika, suradnje, odgovornosti, solidarnosti i aktivnog odnosa prema lokalnoj zajednici. </w:t>
      </w:r>
    </w:p>
    <w:p>
      <w:r>
        <w:t xml:space="preserve">Dana 28. rujna 2026. godine evidentirana je prva uplata predujma za provedbu projekta „Aktivna škola – sretno dijete“ u ukupnom iznosu od 13.300,00 EUR, i to:</w:t>
      </w:r>
    </w:p>
    <w:p>
      <w:r>
        <w:t xml:space="preserve">1. Uplaćen iznos od 11.305,00 EUR (85 %) iz sredstava Europske unije, odnosno Europskog socijalnog fonda plus (ESF+), iz izvora 56100.</w:t>
      </w:r>
    </w:p>
    <w:p>
      <w:r>
        <w:t xml:space="preserve">2. Uplaćen iznos od 1.995,00 EUR (15 %) iz sredstava Državnog proračuna Republike Hrvatske, odnosno nacionalnog sufinanciranja, iz izvora 5012.</w:t>
      </w:r>
    </w:p>
    <w:p>
      <w:r>
        <w:t xml:space="preserve">Iznosi predujma odgovara omjeru sufinanciranja od 85 % iz sredstava ESF+ i 15 % iz nacionalnih sredstava, a njihov zbroj iznosi 13.300,00 EUR.</w:t>
      </w:r>
    </w:p>
    <w:p>
      <w:r>
        <w:t xml:space="preserve">Do dana sastavljanja ovog izvještaja prvi trošak projekta još nije ostvaren jer se čeka odobrenje plana nabave u sustavu eKohezija. Nakon dobivanja odobrenja pristupit će se realizaciji planiranih projektnih aktivnosti i provedbi pripadajućih postupaka nabave.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5721465a7ce4cac" /></Relationships>
</file>