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1721"/>
        <w:tblW w:w="5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056"/>
      </w:tblGrid>
      <w:tr w:rsidR="000127AA">
        <w:trPr>
          <w:trHeight w:val="5469"/>
        </w:trPr>
        <w:tc>
          <w:tcPr>
            <w:tcW w:w="9330" w:type="dxa"/>
          </w:tcPr>
          <w:sdt>
            <w:sdtPr>
              <w:rPr>
                <w:rFonts w:ascii="Times New Roman" w:eastAsiaTheme="majorEastAsia" w:hAnsi="Times New Roman"/>
                <w:color w:val="4472C4"/>
                <w:sz w:val="48"/>
                <w:szCs w:val="48"/>
              </w:rPr>
              <w:alias w:val="Naslov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127AA" w:rsidRDefault="001B6A51">
                <w:pPr>
                  <w:pStyle w:val="Bezproreda1"/>
                  <w:spacing w:line="216" w:lineRule="auto"/>
                  <w:rPr>
                    <w:rFonts w:ascii="Times New Roman" w:eastAsiaTheme="majorEastAsia" w:hAnsi="Times New Roman"/>
                    <w:color w:val="4472C4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/>
                    <w:color w:val="4472C4"/>
                    <w:sz w:val="48"/>
                    <w:szCs w:val="48"/>
                  </w:rPr>
                  <w:t>OBRAZLOŽENJE GODIŠNJEG IZVJEŠTAJA O IZVRŠENJU FINANCIJSKOG PLANA PRORAČUNSKOG KORISNIKA             ZA 2025. GODINU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1849750077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:rsidR="000127AA" w:rsidRDefault="000127AA">
          <w:pPr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pPr w:leftFromText="187" w:rightFromText="187" w:vertAnchor="page" w:horzAnchor="margin" w:tblpXSpec="center" w:tblpY="8931"/>
            <w:tblW w:w="4653" w:type="pct"/>
            <w:tblLook w:val="04A0" w:firstRow="1" w:lastRow="0" w:firstColumn="1" w:lastColumn="0" w:noHBand="0" w:noVBand="1"/>
          </w:tblPr>
          <w:tblGrid>
            <w:gridCol w:w="9071"/>
          </w:tblGrid>
          <w:tr w:rsidR="000127AA">
            <w:trPr>
              <w:trHeight w:val="3978"/>
            </w:trPr>
            <w:tc>
              <w:tcPr>
                <w:tcW w:w="844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127AA" w:rsidRDefault="001B6A51">
                <w:pPr>
                  <w:spacing w:after="0" w:line="240" w:lineRule="auto"/>
                  <w:jc w:val="both"/>
                  <w:rPr>
                    <w:rFonts w:ascii="Liberation Serif" w:eastAsia="NSimSun" w:hAnsi="Liberation Serif" w:cs="Arial" w:hint="eastAsia"/>
                    <w:kern w:val="2"/>
                    <w:sz w:val="24"/>
                    <w:szCs w:val="24"/>
                    <w:lang w:eastAsia="zh-CN" w:bidi="hi-IN"/>
                  </w:rPr>
                </w:pPr>
                <w:r>
                  <w:rPr>
                    <w:noProof/>
                    <w:lang w:eastAsia="hr-HR"/>
                  </w:rPr>
                  <mc:AlternateContent>
                    <mc:Choice Requires="wps">
                      <w:drawing>
                        <wp:anchor distT="45720" distB="45720" distL="114300" distR="114300" simplePos="0" relativeHeight="251659264" behindDoc="0" locked="0" layoutInCell="1" allowOverlap="1">
                          <wp:simplePos x="0" y="0"/>
                          <wp:positionH relativeFrom="column">
                            <wp:posOffset>4143375</wp:posOffset>
                          </wp:positionH>
                          <wp:positionV relativeFrom="paragraph">
                            <wp:posOffset>156845</wp:posOffset>
                          </wp:positionV>
                          <wp:extent cx="1562100" cy="904875"/>
                          <wp:effectExtent l="0" t="0" r="0" b="0"/>
                          <wp:wrapSquare wrapText="bothSides"/>
                          <wp:docPr id="1" name="Tekstni okvir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62100" cy="904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100000"/>
                                    </a:srgbClr>
                                  </a:solidFill>
                                  <a:ln w="9525" cap="flat" cmpd="sng">
                                    <a:prstDash val="solid"/>
                                  </a:ln>
                                </wps:spPr>
                                <wps:txbx>
                                  <w:txbxContent>
                                    <w:p w:rsidR="000127AA" w:rsidRDefault="000127AA">
                                      <w:pPr>
                                        <w:jc w:val="center"/>
                                      </w:pPr>
                                    </w:p>
                                    <w:p w:rsidR="000127AA" w:rsidRDefault="000127AA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Tekstni okvir 2" o:spid="_x0000_s1026" style="position:absolute;left:0;text-align:left;margin-left:326.25pt;margin-top:12.35pt;width:123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" stroked="f">
                          <v:textbox>
                            <w:txbxContent>
                              <w:p w:rsidR="000127AA" w:rsidRDefault="000127AA">
                                <w:pPr>
                                  <w:jc w:val="center"/>
                                </w:pPr>
                              </w:p>
                              <w:p w:rsidR="000127AA" w:rsidRDefault="000127AA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  <w10:wrap type="square"/>
                        </v:rect>
                      </w:pict>
                    </mc:Fallback>
                  </mc:AlternateContent>
                </w: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0127AA">
                <w:pPr>
                  <w:spacing w:after="0" w:line="240" w:lineRule="auto"/>
                  <w:ind w:right="-567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</w:p>
              <w:p w:rsidR="000127AA" w:rsidRDefault="001B6A51">
                <w:pPr>
                  <w:spacing w:after="0" w:line="240" w:lineRule="auto"/>
                  <w:ind w:right="-567"/>
                  <w:jc w:val="center"/>
                  <w:rPr>
                    <w:rFonts w:ascii="Liberation Serif" w:eastAsia="Calibri" w:hAnsi="Liberation Serif" w:cs="Arial"/>
                    <w:kern w:val="2"/>
                    <w:sz w:val="24"/>
                    <w:szCs w:val="24"/>
                    <w:lang w:bidi="hi-IN"/>
                  </w:rPr>
                </w:pPr>
                <w:r>
                  <w:rPr>
                    <w:noProof/>
                    <w:lang w:eastAsia="hr-HR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>
                          <wp:simplePos x="0" y="0"/>
                          <wp:positionH relativeFrom="column">
                            <wp:posOffset>3971925</wp:posOffset>
                          </wp:positionH>
                          <wp:positionV relativeFrom="paragraph">
                            <wp:posOffset>24765</wp:posOffset>
                          </wp:positionV>
                          <wp:extent cx="1562100" cy="904875"/>
                          <wp:effectExtent l="0" t="0" r="0" b="0"/>
                          <wp:wrapSquare wrapText="bothSides"/>
                          <wp:docPr id="2" name="Tekstni okvir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62100" cy="904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100000"/>
                                    </a:srgbClr>
                                  </a:solidFill>
                                  <a:ln w="9525" cap="flat" cmpd="sng">
                                    <a:prstDash val="solid"/>
                                  </a:ln>
                                </wps:spPr>
                                <wps:txbx>
                                  <w:txbxContent>
                                    <w:p w:rsidR="000127AA" w:rsidRDefault="001B6A5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hr-HR"/>
                                        </w:rPr>
                                        <w:drawing>
                                          <wp:inline distT="0" distB="0" distL="0" distR="0">
                                            <wp:extent cx="933450" cy="857250"/>
                                            <wp:effectExtent l="0" t="0" r="0" b="0"/>
                                            <wp:docPr id="3" name="Picture 1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33582" cy="85737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_x0000_s1027" style="position:absolute;left:0;text-align:left;margin-left:312.75pt;margin-top:1.95pt;width:123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" stroked="f">
                          <v:textbox>
                            <w:txbxContent>
                              <w:p w:rsidR="000127AA" w:rsidRDefault="001B6A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>
                                      <wp:extent cx="933450" cy="857250"/>
                                      <wp:effectExtent l="0" t="0" r="0" b="0"/>
                                      <wp:docPr id="3" name="Picture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33582" cy="8573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  <w10:wrap type="square"/>
                        </v:rect>
                      </w:pict>
                    </mc:Fallback>
                  </mc:AlternateContent>
                </w:r>
              </w:p>
              <w:p w:rsidR="000127AA" w:rsidRDefault="001B6A51">
                <w:pPr>
                  <w:spacing w:after="0" w:line="240" w:lineRule="auto"/>
                  <w:ind w:right="-567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KLASA:       </w:t>
                </w:r>
                <w:r>
                  <w:rPr>
                    <w:rFonts w:ascii="Times New Roman" w:eastAsia="Calibri" w:hAnsi="Times New Roman" w:cs="Times New Roman"/>
                    <w:noProof/>
                    <w:color w:val="000000"/>
                    <w:sz w:val="24"/>
                    <w:szCs w:val="24"/>
                    <w:lang w:val="en-US" w:eastAsia="hr-HR"/>
                  </w:rPr>
                  <w:t>400-02/26-01/1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</w:t>
                </w:r>
              </w:p>
              <w:p w:rsidR="000127AA" w:rsidRDefault="001B6A51">
                <w:pPr>
                  <w:spacing w:after="0" w:line="240" w:lineRule="auto"/>
                  <w:ind w:left="10" w:hanging="1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URBROJ:     </w:t>
                </w:r>
                <w:r>
                  <w:rPr>
                    <w:rFonts w:ascii="Times New Roman" w:eastAsia="Calibri" w:hAnsi="Times New Roman" w:cs="Times New Roman"/>
                    <w:noProof/>
                    <w:sz w:val="24"/>
                    <w:szCs w:val="24"/>
                  </w:rPr>
                  <w:t>2182-35-26-1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                                             </w:t>
                </w:r>
              </w:p>
              <w:p w:rsidR="000127AA" w:rsidRDefault="001B6A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 xml:space="preserve">Tisno,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ab/>
                </w:r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alias w:val="Datum"/>
                    <w:tag w:val="Datum"/>
                    <w:id w:val="-196083608"/>
                    <w:date w:fullDate="2026-03-27T00:00:00Z">
                      <w:dateFormat w:val="d. MMMM yyyy."/>
                      <w:lid w:val="hr-H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hr-HR"/>
                      </w:rPr>
                      <w:t>27. ožujka 2026.</w:t>
                    </w:r>
                  </w:sdtContent>
                </w:sdt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ab/>
                </w:r>
              </w:p>
              <w:p w:rsidR="000127AA" w:rsidRDefault="000127AA">
                <w:pPr>
                  <w:spacing w:after="0" w:line="240" w:lineRule="auto"/>
                  <w:rPr>
                    <w:rFonts w:ascii="Liberation Serif" w:eastAsia="NSimSun" w:hAnsi="Liberation Serif" w:cs="Arial" w:hint="eastAsia"/>
                    <w:kern w:val="2"/>
                    <w:sz w:val="24"/>
                    <w:szCs w:val="24"/>
                    <w:lang w:eastAsia="zh-CN" w:bidi="hi-IN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</w:p>
              <w:p w:rsidR="000127AA" w:rsidRDefault="001B6A51">
                <w:pPr>
                  <w:pStyle w:val="Bezproreda1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  <w:t xml:space="preserve">                                                                              </w:t>
                </w:r>
              </w:p>
              <w:p w:rsidR="000127AA" w:rsidRDefault="001B6A51">
                <w:pPr>
                  <w:pStyle w:val="Bezproreda1"/>
                  <w:jc w:val="both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  <w:t xml:space="preserve">                                                                    RAVNATELJICA:</w:t>
                </w:r>
              </w:p>
              <w:p w:rsidR="000127AA" w:rsidRDefault="000127AA">
                <w:pPr>
                  <w:pStyle w:val="Bezproreda1"/>
                  <w:jc w:val="both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jc w:val="both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</w:p>
              <w:p w:rsidR="000127AA" w:rsidRDefault="001B6A51">
                <w:pPr>
                  <w:pStyle w:val="Bezproreda1"/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  <w:t xml:space="preserve">                                                                     _______________</w:t>
                </w:r>
              </w:p>
              <w:p w:rsidR="000127AA" w:rsidRDefault="001B6A51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  <w:t xml:space="preserve">        </w:t>
                </w:r>
                <w:r>
                  <w:rPr>
                    <w:rFonts w:ascii="Times New Roman" w:hAnsi="Times New Roman"/>
                    <w:color w:val="4472C4"/>
                    <w:sz w:val="24"/>
                    <w:szCs w:val="24"/>
                  </w:rPr>
                  <w:t xml:space="preserve">                                                             Sanda Crvelin,</w:t>
                </w:r>
                <w:r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  <w:t xml:space="preserve"> dipl.uč.</w:t>
                </w: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0127AA">
                <w:pPr>
                  <w:pStyle w:val="Bezproreda1"/>
                  <w:rPr>
                    <w:rFonts w:ascii="Times New Roman" w:hAnsi="Times New Roman"/>
                    <w:i/>
                    <w:color w:val="4472C4"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iCs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iCs/>
                    <w:sz w:val="24"/>
                    <w:szCs w:val="24"/>
                    <w:u w:val="single"/>
                  </w:rPr>
                  <w:t>1.  UVOD</w:t>
                </w:r>
              </w:p>
              <w:p w:rsidR="000127AA" w:rsidRDefault="000127A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Zakonom o proračunu (NN broj 144/21) čl. 86 stavkom 1. propisana je obveza sastavljanja i podnošenja godišnjeg izvještaja o izvršenju financijskog plana za tekuću proračunsku godinu na usvajanje Školskom odboru Škole. 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Na sadržaj godišnjeg izvještaja o izv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ršenju financijskog plana  primjenjuje se odredba članka 81. stavka 1. Zakona o proračunu . 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Godišnji izvještaj o izvršenju financijskog plana sadrži: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•</w:t>
                </w: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  <w:t xml:space="preserve"> Opći dio financijskog plana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- Račun prihoda i rashoda i Račun financiranja na razini odjeljka ekonomsk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e klasifikacije  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• </w:t>
                </w: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  <w:t>posebni dio financijskog plana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– izvršenje prihoda i rashoda iskazanih po izvorima financiranja i ekonomskoj klasifikaciji, raspoređenih u programe koji se sastoje od aktivnosti i projekata, na razini odjeljka ekonomske klasifikacije,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• </w:t>
                </w: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  <w:t>posebne izvještaje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: </w:t>
                </w:r>
              </w:p>
              <w:p w:rsidR="000127AA" w:rsidRDefault="001B6A51">
                <w:pPr>
                  <w:pStyle w:val="box469218"/>
                  <w:shd w:val="clear" w:color="auto" w:fill="FFFFFF"/>
                  <w:spacing w:before="0" w:beforeAutospacing="0" w:after="48" w:afterAutospacing="0"/>
                  <w:ind w:firstLine="408"/>
                  <w:textAlignment w:val="baseline"/>
                  <w:rPr>
                    <w:rFonts w:ascii="Arial" w:hAnsi="Arial" w:cs="Arial"/>
                    <w:color w:val="231F20"/>
                  </w:rPr>
                </w:pPr>
                <w:r>
                  <w:rPr>
                    <w:rFonts w:ascii="Arial" w:hAnsi="Arial" w:cs="Arial"/>
                    <w:color w:val="231F20"/>
                  </w:rPr>
                  <w:t>– izvještaj o zaduživanju na domaćem i stranom tržištu novca i kapitala</w:t>
                </w:r>
              </w:p>
              <w:p w:rsidR="000127AA" w:rsidRDefault="000127AA">
                <w:pPr>
                  <w:pStyle w:val="box469218"/>
                  <w:shd w:val="clear" w:color="auto" w:fill="FFFFFF"/>
                  <w:spacing w:before="0" w:beforeAutospacing="0" w:after="48" w:afterAutospacing="0"/>
                  <w:ind w:left="360" w:firstLine="708"/>
                  <w:textAlignment w:val="baseline"/>
                  <w:rPr>
                    <w:rFonts w:ascii="Arial" w:hAnsi="Arial" w:cs="Arial"/>
                    <w:color w:val="231F20"/>
                  </w:rPr>
                </w:pPr>
              </w:p>
              <w:p w:rsidR="000127AA" w:rsidRDefault="001B6A51">
                <w:pPr>
                  <w:ind w:firstLine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• </w:t>
                </w: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  <w:t>obrazloženje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  <w:t>općeg dijela izvještaja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ostvarenih prihoda i primitaka te rashoda </w:t>
                </w:r>
              </w:p>
              <w:p w:rsidR="000127AA" w:rsidRDefault="001B6A51">
                <w:pPr>
                  <w:ind w:firstLine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i izdataka.</w:t>
                </w:r>
              </w:p>
              <w:p w:rsidR="000127AA" w:rsidRDefault="000127A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bookmarkStart w:id="0" w:name="_Hlk116588047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     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U skladu sa zakonskom obvezom, sastavljen je godišnji i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zvještaj o izvršenju                           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Financijskog plana Osnovne škole Vjekoslava Kaleba za 2025. godinu. 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Financiranje rashoda Osnovne škole Vjekoslava Kaleba tijekom 2025. godine izvršeno je temeljem Financijskog plana za 2025. godinu, us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vojenog na sjednici Školskog odbora.</w:t>
                </w:r>
              </w:p>
              <w:p w:rsidR="000127AA" w:rsidRDefault="001B6A51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Osnovna škola Vjekoslava Kaleba posluje putem jedinstvenog podračuna Županijske riznice, odnosno jedinstvenog bankovnog računa. Time su objedinjena plaćanja, primanja, čuvanja i prijenos svih prihoda i primitaka te rash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oda i izdataka .</w:t>
                </w:r>
              </w:p>
              <w:p w:rsidR="000127AA" w:rsidRDefault="000127AA">
                <w:pPr>
                  <w:ind w:left="36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b/>
                    <w:caps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bookmarkEnd w:id="0"/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Times New Roman" w:hAnsi="Arial" w:cs="Arial"/>
                    <w:b/>
                    <w:i/>
                    <w:sz w:val="24"/>
                    <w:szCs w:val="24"/>
                    <w:u w:val="single"/>
                  </w:rPr>
                  <w:t>2. OBRAZLOŽENJE OPĆEG DIJELA IZVJEŠTAJA</w:t>
                </w: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SAŽETAK  RAČUNA PRIHODA I RASHODA I  RAČUNA FINANCIRANJA</w:t>
                </w: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tbl>
                <w:tblPr>
                  <w:tblW w:w="8831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>
                <w:tblGrid>
                  <w:gridCol w:w="2008"/>
                  <w:gridCol w:w="1541"/>
                  <w:gridCol w:w="1541"/>
                  <w:gridCol w:w="1541"/>
                  <w:gridCol w:w="1100"/>
                  <w:gridCol w:w="1100"/>
                </w:tblGrid>
                <w:tr w:rsidR="000127AA">
                  <w:trPr>
                    <w:cantSplit/>
                    <w:trHeight w:val="1356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SAŽETAK RAČUNA FINANCIRANJA    </w:t>
                      </w: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both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1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Ostvarenje/ izvršenje</w:t>
                      </w: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31.12.2024.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>2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Rebalans za 2025. godinu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>3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Ostvarenje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/ izvršenje 31.12.2025.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>4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 xml:space="preserve">Indeks </w:t>
                      </w: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 xml:space="preserve">  </w:t>
                      </w: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4/2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>5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 xml:space="preserve">Indeks 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4/3</w:t>
                      </w:r>
                    </w:p>
                    <w:p w:rsidR="000127AA" w:rsidRDefault="000127AA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:rsidR="000127AA" w:rsidRDefault="001B6A51" w:rsidP="006C309F">
                      <w:pPr>
                        <w:keepNext/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jc w:val="center"/>
                        <w:outlineLvl w:val="6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hr-HR"/>
                        </w:rPr>
                        <w:t>6</w:t>
                      </w:r>
                    </w:p>
                  </w:tc>
                </w:tr>
                <w:tr w:rsidR="000127AA">
                  <w:trPr>
                    <w:cantSplit/>
                    <w:trHeight w:val="581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PRIHODI UKUPNO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1.097.939,57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1.139.410,00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1.176.175,75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107,13</w:t>
                      </w: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103,23</w:t>
                      </w:r>
                    </w:p>
                  </w:tc>
                </w:tr>
                <w:tr w:rsidR="000127AA">
                  <w:trPr>
                    <w:cantSplit/>
                    <w:trHeight w:val="532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6 PRIHODI POSLOVANJA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1.097.939,57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1.139.410,00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1.176.175,75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107,13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103,23</w:t>
                      </w:r>
                    </w:p>
                  </w:tc>
                </w:tr>
                <w:tr w:rsidR="000127AA">
                  <w:trPr>
                    <w:cantSplit/>
                    <w:trHeight w:val="1090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7 PRIHODI OD PRODAJE NEFINANCIJSKE IMOVINE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0,00</w:t>
                      </w: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</w:tr>
                <w:tr w:rsidR="000127AA">
                  <w:trPr>
                    <w:cantSplit/>
                    <w:trHeight w:val="290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RASHODI UKUPNO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1.088.773,29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1.141.410,00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1.266.734,75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116,35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110,98</w:t>
                      </w:r>
                    </w:p>
                  </w:tc>
                </w:tr>
                <w:tr w:rsidR="000127AA">
                  <w:trPr>
                    <w:cantSplit/>
                    <w:trHeight w:val="532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3 RASHODI POSLOVANJA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1.075.995,31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1.116.512,00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1.253.668,52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116,51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112,28</w:t>
                      </w:r>
                    </w:p>
                  </w:tc>
                </w:tr>
                <w:tr w:rsidR="000127AA">
                  <w:trPr>
                    <w:cantSplit/>
                    <w:trHeight w:val="1090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</w:rPr>
                        <w:t>4 RASHODI ZA NABAVU NEFINANCIJSKE IMOVINE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12.777,98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24.898,00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13.066,23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102,26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52,48</w:t>
                      </w:r>
                    </w:p>
                  </w:tc>
                </w:tr>
                <w:tr w:rsidR="000127AA">
                  <w:trPr>
                    <w:cantSplit/>
                    <w:trHeight w:val="557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RAZLIKA-VIŠAK/MANJAK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9.166,28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- 2.000,00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- 90.559,00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4.527,95</w:t>
                      </w:r>
                    </w:p>
                  </w:tc>
                </w:tr>
                <w:tr w:rsidR="000127AA">
                  <w:trPr>
                    <w:cantSplit/>
                    <w:trHeight w:val="823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 xml:space="preserve">92 VIŠAK/ MANJAK IZ PRETHODNIH GODINA KOJI ĆE SE RASPOREDITI/ POKRITI 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-7.858,29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2.000,00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1.646,43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4.096,19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693,16</w:t>
                      </w:r>
                    </w:p>
                  </w:tc>
                </w:tr>
                <w:tr w:rsidR="000127AA">
                  <w:trPr>
                    <w:cantSplit/>
                    <w:trHeight w:val="823"/>
                  </w:trPr>
                  <w:tc>
                    <w:tcPr>
                      <w:tcW w:w="20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ind w:right="-57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VIŠAK/ MANJAK + NETO FINANCIRANJE + PRENESENI REZULTAT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1.307,99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0,00</w:t>
                      </w:r>
                    </w:p>
                  </w:tc>
                  <w:tc>
                    <w:tcPr>
                      <w:tcW w:w="1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>-88.912,57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Cs w:val="24"/>
                        </w:rPr>
                        <w:t xml:space="preserve">   -67,98</w:t>
                      </w:r>
                    </w:p>
                  </w:tc>
                  <w:tc>
                    <w:tcPr>
                      <w:tcW w:w="11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-</w:t>
                      </w:r>
                    </w:p>
                  </w:tc>
                </w:tr>
              </w:tbl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  <w:t>2.1 PRIHODI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Prihodi poslovanja u odnosu na Izvorni plan 2025. godine ostvareni su 107,13 %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 sljedećoj tablici prikazana je realizacija ukupnih prihoda OŠ Vjekoslava Kaleba u 2025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.g. te usporedba s realizacijom u izvještajnom razdoblju prethodne godine, po pojedinoj vrsti prihoda.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tbl>
                <w:tblPr>
                  <w:tblStyle w:val="Reetkatablice"/>
                  <w:tblpPr w:leftFromText="180" w:rightFromText="180" w:vertAnchor="text" w:horzAnchor="margin" w:tblpY="153"/>
                  <w:tblW w:w="8728" w:type="dxa"/>
                  <w:tblLook w:val="04A0" w:firstRow="1" w:lastRow="0" w:firstColumn="1" w:lastColumn="0" w:noHBand="0" w:noVBand="1"/>
                </w:tblPr>
                <w:tblGrid>
                  <w:gridCol w:w="2907"/>
                  <w:gridCol w:w="1984"/>
                  <w:gridCol w:w="2249"/>
                  <w:gridCol w:w="1588"/>
                </w:tblGrid>
                <w:tr w:rsidR="000127AA">
                  <w:trPr>
                    <w:trHeight w:val="563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VRSTA PRIHODA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Izvršenje </w:t>
                      </w:r>
                    </w:p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1-12/2024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Izvršenje </w:t>
                      </w:r>
                    </w:p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1-12/2025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Indeks </w:t>
                      </w:r>
                    </w:p>
                  </w:tc>
                </w:tr>
                <w:tr w:rsidR="000127AA">
                  <w:trPr>
                    <w:trHeight w:val="269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Pomoći 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975.091,09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 1.047.310,10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107,41</w:t>
                      </w:r>
                    </w:p>
                  </w:tc>
                </w:tr>
                <w:tr w:rsidR="000127AA">
                  <w:trPr>
                    <w:trHeight w:val="294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Prihodi posebne namjene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10.500,86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12.438,38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118,45</w:t>
                      </w:r>
                    </w:p>
                  </w:tc>
                </w:tr>
                <w:tr w:rsidR="000127AA">
                  <w:trPr>
                    <w:trHeight w:val="269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left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Vlastiti prihodi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2.127,17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2.521,69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118,55</w:t>
                      </w:r>
                    </w:p>
                  </w:tc>
                </w:tr>
                <w:tr w:rsidR="000127AA">
                  <w:trPr>
                    <w:trHeight w:val="294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Opći prihodi i primici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110.220,45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122.218,00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103,34</w:t>
                      </w:r>
                    </w:p>
                  </w:tc>
                </w:tr>
                <w:tr w:rsidR="000127AA">
                  <w:trPr>
                    <w:trHeight w:val="294"/>
                  </w:trPr>
                  <w:tc>
                    <w:tcPr>
                      <w:tcW w:w="2907" w:type="dxa"/>
                    </w:tcPr>
                    <w:p w:rsidR="000127AA" w:rsidRDefault="001B6A51">
                      <w:pPr>
                        <w:pStyle w:val="Odlomakpopisa"/>
                        <w:ind w:left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UKUPNO PRIHODI</w:t>
                      </w:r>
                    </w:p>
                  </w:tc>
                  <w:tc>
                    <w:tcPr>
                      <w:tcW w:w="1984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1.097.939,57</w:t>
                      </w:r>
                    </w:p>
                  </w:tc>
                  <w:tc>
                    <w:tcPr>
                      <w:tcW w:w="2249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1.176.175,75</w:t>
                      </w:r>
                    </w:p>
                  </w:tc>
                  <w:tc>
                    <w:tcPr>
                      <w:tcW w:w="1588" w:type="dxa"/>
                    </w:tcPr>
                    <w:p w:rsidR="000127AA" w:rsidRDefault="001B6A51">
                      <w:pPr>
                        <w:pStyle w:val="Odlomakpopisa"/>
                        <w:ind w:left="0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107,13</w:t>
                      </w:r>
                    </w:p>
                  </w:tc>
                </w:tr>
              </w:tbl>
              <w:p w:rsidR="000127AA" w:rsidRDefault="000127A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  <w:t>2.1.1 PRIHODI IZ NADLEŽNOG PRORAČUNA PO IZVORIMA FINANCIRANJA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IF : 1101 Opći prihodi i primici ŠKŽ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Planirano : 2.914,00 €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Ostvareno : 425,95 €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Indeks ostvarenja: 14,62 %</w:t>
                </w:r>
              </w:p>
              <w:p w:rsidR="000127AA" w:rsidRDefault="001B6A51">
                <w:pP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Planirana sredstva se odnose na financiranje dijela programa</w:t>
                </w:r>
                <w:r>
                  <w:rPr>
                    <w:rFonts w:ascii="Arial" w:hAnsi="Arial" w:cs="Arial"/>
                    <w:bCs/>
                    <w:i/>
                    <w:sz w:val="24"/>
                    <w:szCs w:val="24"/>
                    <w:lang w:eastAsia="hr-HR"/>
                  </w:rPr>
                  <w:t xml:space="preserve"> A1007-08 PODIZANJE KVALITETE I STANDARDA KROZ AKTIVNOSTI OSNOVNIH ŠKOLA,</w:t>
                </w:r>
                <w:r>
                  <w:rPr>
                    <w:rFonts w:ascii="Arial" w:hAnsi="Arial" w:cs="Arial"/>
                    <w:bCs/>
                    <w:i/>
                    <w:sz w:val="24"/>
                    <w:szCs w:val="24"/>
                    <w:lang w:eastAsia="hr-HR"/>
                  </w:rPr>
                  <w:t xml:space="preserve"> T1007-46 ZAJEDNO DO ZNANJA UZ VIŠE ELANA VI – OŠ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 xml:space="preserve">. Planirana su po potrebi ustanove. 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IF : 1201 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OŠ Sredstva za DEC funkcije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Planirano : 93.209,00 €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Ostvareno : 90.296,55 €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Indeks ostvarenja : 96,88 %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Ostvareni su prihodi očekivani i razmjerni potrebama fu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nkcioniranja ustanove u  izvještajnom razdoblju iz programa A1007-06 OSNOVNOŠKOLSKO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 xml:space="preserve">OBRAZOVANJE – STANDARD i A1007-07 OSNOVNOŠKOLSKO OBRAZOVANJE – OPERATIVNI PLAN .  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IF : 1501 OŠ predfinanc.EU projekata iz sredstava ŠKŽ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Planirano : 26.095,00 €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Ostvareno :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 xml:space="preserve"> 23.183,08 €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Indeks ostvarenja: 88,84 %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Sredstva su planirana prema podacima o potrebi škole u okviru programa</w:t>
                </w:r>
                <w:r>
                  <w:rPr>
                    <w:rFonts w:ascii="Arial" w:hAnsi="Arial" w:cs="Arial"/>
                    <w:bCs/>
                    <w:i/>
                    <w:sz w:val="24"/>
                    <w:szCs w:val="24"/>
                    <w:lang w:eastAsia="hr-HR"/>
                  </w:rPr>
                  <w:t xml:space="preserve">  T1007-15 ŠKOLSKA SHEMA-OŠ i</w:t>
                </w:r>
                <w:r>
                  <w:rPr>
                    <w:bCs/>
                  </w:rPr>
                  <w:t xml:space="preserve"> </w:t>
                </w:r>
                <w:r>
                  <w:rPr>
                    <w:rFonts w:ascii="Arial" w:hAnsi="Arial" w:cs="Arial"/>
                    <w:bCs/>
                    <w:i/>
                    <w:sz w:val="24"/>
                    <w:szCs w:val="24"/>
                    <w:lang w:eastAsia="hr-HR"/>
                  </w:rPr>
                  <w:t xml:space="preserve">T1007-46 ZAJEDNO DO ZNANJA UZ VIŠE ELANA VI - OŠ 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.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 xml:space="preserve"> Podaci su podložni promjenama ovisno o broju učenika i potrebama ustanove. </w:t>
                </w:r>
              </w:p>
              <w:p w:rsidR="000127AA" w:rsidRDefault="000127AA">
                <w:pPr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0127AA">
                <w:pPr>
                  <w:jc w:val="both"/>
                  <w:rPr>
                    <w:rFonts w:ascii="Times New Roman" w:hAnsi="Times New Roman" w:cs="Times New Roman"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  <w:t>2.1.2 PRIHODI PO POSEBNIM PROPISIMA PO IZVORIMA FINANCIRANJA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IF 4301 OŠ Prihodi posebne namjene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Planirano : 28.850,00 €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Ostvareno : 12.438,38 €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Indeks ostvarenja: 43,11 %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Ostva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reni prihodi odnose se na upisnine i participacije učenika Glazbene škole u programu</w:t>
                </w:r>
                <w:r>
                  <w:t xml:space="preserve"> 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A1007-16 ODJEL OSNOVNOŠKOLSKOG GLAZBENOG OBRAZOVANJA.</w:t>
                </w:r>
              </w:p>
              <w:p w:rsidR="000127AA" w:rsidRDefault="000127A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0127AA">
                <w:pPr>
                  <w:jc w:val="both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  <w:t xml:space="preserve">2.1.3 POMOĆI 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IF 5201 OŠ Pomoći iz proračuna koji nije nadležan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Planirano : 979.426,00 €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 xml:space="preserve">Ostvareno : 1.047.310,10 </w:t>
                </w: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Indeks ostvarenja : 106,93 %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Planirana sredstva su pomoći državnog proračuna za materijalne troškove plaća i ostalih obveza prema zaposlenicima iz programa A1007-58 REDOVNA DJELATNOST ŠKOLA (EVIDENCIJSKI PRIHODI) -OŠ</w:t>
                </w:r>
                <w:r>
                  <w:cr/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, udžbenici, prehrana i opskrba menst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rualnih potrepština za učenike iz programa T1007-45 ŠKOLA ZA ŽIVOT - KURIKULARNA REFORMA /OŠ, A1007-22 NACIONALNI PROJEKT PREHRANA UČENIKA,</w:t>
                </w:r>
                <w:r>
                  <w:t xml:space="preserve"> 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 xml:space="preserve">T1007-34 OPSKRBA ŠKOLSKIH USTANOVA BESPLATNIM ZALIHAMA MENSTRUALNIH HIGIJENSKIH POTREPŠTINA – OŠ. 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Planirani prihodi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 xml:space="preserve"> bili su manji od ostvarenih u izvještajnom razdoblju zbog nedovoljno preciznog financijskog planiranja. Tijekom godine došlo je do većih rashoda za plaće zaposlenika nego što je prvotno predviđeno, što je rezultiralo većom potrošnjom sredstava u odnosu na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 xml:space="preserve"> ostvarene prihode.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  <w:t>2.1.4 VLASTITI PRIHODI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IF 3101 OŠ Vlastiti prihodi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Planirano : 8.916,00 €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Ostvareno : 2.521,69 €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hr-HR"/>
                  </w:rPr>
                  <w:t>Indeks ostvarenja :  28,28 %</w:t>
                </w:r>
              </w:p>
              <w:p w:rsidR="000127AA" w:rsidRDefault="001B6A51">
                <w:pPr>
                  <w:jc w:val="both"/>
                  <w:rPr>
                    <w:rFonts w:ascii="Cambria" w:hAnsi="Cambria" w:cs="Arial-Bold+0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Ostvareni prihodi odnose se na najam glazbala učenika Glazbene škole u programu A1007-16 ODJEL OSNOVNOŠKOLSK</w:t>
                </w: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OG GLAZBENOG OBRAZOVANJA</w:t>
                </w:r>
              </w:p>
              <w:p w:rsidR="000127AA" w:rsidRDefault="000127AA">
                <w:pPr>
                  <w:jc w:val="both"/>
                  <w:rPr>
                    <w:rFonts w:ascii="Cambria" w:hAnsi="Cambria" w:cs="Arial-Bold+0"/>
                    <w:b/>
                    <w:bCs/>
                    <w:i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i/>
                    <w:sz w:val="24"/>
                    <w:szCs w:val="24"/>
                    <w:u w:val="single"/>
                    <w:lang w:eastAsia="hr-HR"/>
                  </w:rPr>
                  <w:t>2.2 RASHODI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Ukupni rashodi ostvareni su u iznosu od 1.266.734,75 eura u odnosu na isto razdoblje prethodne godine realizirani su sa indeksom 116,35 %.</w:t>
                </w:r>
              </w:p>
              <w:p w:rsidR="000127AA" w:rsidRDefault="001B6A5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 tablici u nastavku prikazano je izvršenje rashoda po vrstama te usporedba s realizacijom u prethodnoj godini:</w:t>
                </w:r>
              </w:p>
              <w:p w:rsidR="000127AA" w:rsidRDefault="000127AA">
                <w:pPr>
                  <w:jc w:val="both"/>
                  <w:rPr>
                    <w:rFonts w:ascii="Cambria" w:hAnsi="Cambria" w:cs="Arial-Bold+0"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0127AA">
                <w:pPr>
                  <w:jc w:val="both"/>
                  <w:rPr>
                    <w:rFonts w:ascii="Cambria" w:hAnsi="Cambria" w:cs="Arial-Bold+0"/>
                    <w:bCs/>
                    <w:sz w:val="24"/>
                    <w:szCs w:val="24"/>
                    <w:lang w:eastAsia="hr-HR"/>
                  </w:rPr>
                </w:pPr>
              </w:p>
              <w:tbl>
                <w:tblPr>
                  <w:tblStyle w:val="Reetkatablice"/>
                  <w:tblW w:w="0" w:type="auto"/>
                  <w:tblInd w:w="360" w:type="dxa"/>
                  <w:tblLook w:val="04A0" w:firstRow="1" w:lastRow="0" w:firstColumn="1" w:lastColumn="0" w:noHBand="0" w:noVBand="1"/>
                </w:tblPr>
                <w:tblGrid>
                  <w:gridCol w:w="2191"/>
                  <w:gridCol w:w="2130"/>
                  <w:gridCol w:w="2131"/>
                  <w:gridCol w:w="2019"/>
                </w:tblGrid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VRSTA RASHODA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IZVRŠENJE</w:t>
                      </w: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1-12/2024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IZVRŠENJE </w:t>
                      </w: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1-12/2025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INDEX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31 Rashodi za zaposlene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875.739,86 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1.043.745,25 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119,18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32 Materijalni rashodi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200.003,64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209.608,52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r>
                        <w:t xml:space="preserve"> </w:t>
                      </w: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104,80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38 Rashodi za donacije, kazne, naknade šteta</w:t>
                      </w:r>
                    </w:p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 kapitalne pomoći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251,81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314,75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125,00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Financijski rashodi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0,00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 UKUPNO RASHODI POSLOVANJA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1.075.995,31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1.253.668,52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116,51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Rashodi za nabavu nefinancijske imovine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12.777,98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13.066,23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102,26</w:t>
                      </w:r>
                    </w:p>
                  </w:tc>
                </w:tr>
                <w:tr w:rsidR="000127AA">
                  <w:tc>
                    <w:tcPr>
                      <w:tcW w:w="219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SVEUKUPNO RASHODI</w:t>
                      </w:r>
                    </w:p>
                  </w:tc>
                  <w:tc>
                    <w:tcPr>
                      <w:tcW w:w="2130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1.088.773,29</w:t>
                      </w:r>
                    </w:p>
                  </w:tc>
                  <w:tc>
                    <w:tcPr>
                      <w:tcW w:w="2131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1.266.734,75</w:t>
                      </w:r>
                    </w:p>
                  </w:tc>
                  <w:tc>
                    <w:tcPr>
                      <w:tcW w:w="2019" w:type="dxa"/>
                    </w:tcPr>
                    <w:p w:rsidR="000127AA" w:rsidRDefault="001B6A51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116,35</w:t>
                      </w:r>
                    </w:p>
                    <w:p w:rsidR="000127AA" w:rsidRDefault="000127AA" w:rsidP="006C309F">
                      <w:pPr>
                        <w:framePr w:hSpace="187" w:wrap="around" w:vAnchor="page" w:hAnchor="margin" w:xAlign="center" w:y="8931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0127AA" w:rsidRDefault="000127AA">
                <w:pPr>
                  <w:jc w:val="both"/>
                  <w:rPr>
                    <w:rFonts w:ascii="Cambria" w:hAnsi="Cambria" w:cs="Arial-Bold+0"/>
                    <w:bCs/>
                    <w:sz w:val="24"/>
                    <w:szCs w:val="24"/>
                    <w:lang w:eastAsia="hr-HR"/>
                  </w:rPr>
                </w:pP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  <w:t>2.2.1  RASHODI ZA ZAPOSLENE</w:t>
                </w:r>
              </w:p>
              <w:p w:rsidR="000127AA" w:rsidRDefault="001B6A51">
                <w:pP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  <w:lang w:eastAsia="hr-HR"/>
                  </w:rPr>
                  <w:t>Planirana sredstva su pomoći državnog proračuna za materijalne troškove plaća i ostalih obveza prema zaposlenicima. Planirana sredstva u 2025. g. iznose 889.404,00 €, a ostvarena 1.043.745,25 € –indeks ostvarenja 117,35 % .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Tijekom godine povećani su rasho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di za plaće zaposlenika, koji nisu bili adekvatno predviđeni u financijskom planu, što je dovelo do veće potrošnje sredstava u odnosu na planirane prihode. Razlog navedenog je nedovoljno precizno planiranje prihoda i rashoda.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  <w:t>2.2.2  MATERIJALNI RASHODI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Os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tvareni rashodi poslovanja iznose 209.608,52 € od planiranih 226.793,00 €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  <w:lang w:eastAsia="hr-HR"/>
                  </w:rPr>
                  <w:t xml:space="preserve"> 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 xml:space="preserve">- indeks ostvarenja 92,42 % . Ostvareni su rashodi očekivani i razmjerni potrebama funkcioniranja ustanove u izvještajnom razdoblju. 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Rashodi se odnose na materijalne rashode ; troškove zaposlenika te rashode za usluge, materijal i energiju.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u w:val="single"/>
                    <w:lang w:eastAsia="hr-HR"/>
                  </w:rPr>
                  <w:t>2.2.3 RASHODI ZA DONACIJE, KAZNE, NAKNADE ŠTETA I KAPITALNE POMOĆI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Planirana sredstva su pomoći državnog proračuna a iznose 315,00 €, a ostvarena 3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14,75 € –indeks ostvarenja 99,92 % .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  <w:lang w:eastAsia="hr-HR"/>
                  </w:rPr>
                  <w:t>2.2.4  RASHODI ZA NABAVU NEFINANCIJSKE IMOVINE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Planirani  rashodi za nabavu nefinancijske imovine iznose 24.989,00 €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  <w:lang w:eastAsia="hr-HR"/>
                  </w:rPr>
                  <w:t xml:space="preserve"> 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 xml:space="preserve">i utrošeni su u iznosu od 13.066,23 € - indeks ostvarenja 52,48. </w:t>
                </w:r>
              </w:p>
              <w:p w:rsidR="000127AA" w:rsidRDefault="000127AA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</w:p>
              <w:p w:rsidR="000127AA" w:rsidRDefault="001B6A51">
                <w:pPr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  <w:lang w:eastAsia="hr-HR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  <w:lang w:eastAsia="hr-HR"/>
                  </w:rPr>
                  <w:t>2.2.5 FINANCIJSKI RASHODI</w:t>
                </w:r>
              </w:p>
              <w:p w:rsidR="000127AA" w:rsidRDefault="001B6A51">
                <w:pPr>
                  <w:jc w:val="both"/>
                  <w:rPr>
                    <w:rFonts w:ascii="Arial" w:hAnsi="Arial" w:cs="Arial"/>
                    <w:sz w:val="24"/>
                    <w:szCs w:val="24"/>
                    <w:lang w:eastAsia="hr-HR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>Financij</w:t>
                </w:r>
                <w:r>
                  <w:rPr>
                    <w:rFonts w:ascii="Arial" w:hAnsi="Arial" w:cs="Arial"/>
                    <w:sz w:val="24"/>
                    <w:szCs w:val="24"/>
                    <w:lang w:eastAsia="hr-HR"/>
                  </w:rPr>
                  <w:t xml:space="preserve">ski rashodi ostvareni su u iznosu od 0,00 €. 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hAnsi="Arial" w:cs="Arial"/>
                    <w:b/>
                    <w:i/>
                    <w:sz w:val="24"/>
                    <w:szCs w:val="24"/>
                    <w:u w:val="single"/>
                  </w:rPr>
                  <w:t xml:space="preserve">3. PRENESENI VIŠAK / MANJAK 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Planirano 2.000,00 € 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Ostvareno : 1.646,43 €</w:t>
                </w:r>
              </w:p>
              <w:p w:rsidR="000127AA" w:rsidRDefault="000127AA">
                <w:pPr>
                  <w:spacing w:after="0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/>
                    <w:bCs/>
                    <w:i/>
                    <w:sz w:val="24"/>
                    <w:szCs w:val="24"/>
                    <w:u w:val="single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/>
                    <w:bCs/>
                    <w:i/>
                    <w:sz w:val="24"/>
                    <w:szCs w:val="24"/>
                    <w:u w:val="singl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i/>
                    <w:sz w:val="24"/>
                    <w:szCs w:val="24"/>
                    <w:u w:val="single"/>
                  </w:rPr>
                  <w:t>4. IZVJEŠTAJ O ZADUŽIVANJU NA DOMAĆEM I STRANOM TRŽIŠTU NOVCA I KAPITALA</w:t>
                </w: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  <w:t>OŠ Vjekoslava Kaleba</w:t>
                </w:r>
                <w:r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  <w:t xml:space="preserve"> nije se zaduživala u izvještajnom razdoblju. </w:t>
                </w:r>
              </w:p>
              <w:p w:rsidR="000127AA" w:rsidRDefault="000127AA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</w:pPr>
              </w:p>
              <w:p w:rsidR="000127AA" w:rsidRDefault="001B6A51">
                <w:pPr>
                  <w:spacing w:after="0" w:line="240" w:lineRule="auto"/>
                  <w:ind w:right="-57"/>
                  <w:jc w:val="both"/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bCs/>
                    <w:sz w:val="24"/>
                    <w:szCs w:val="24"/>
                  </w:rPr>
                  <w:t>Nema izvještaja o zaduživanju na domaćem i stranom tržištu novca i kapitala.</w:t>
                </w:r>
              </w:p>
            </w:tc>
          </w:tr>
        </w:tbl>
        <w:p w:rsidR="000127AA" w:rsidRDefault="001B6A5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ectPr w:rsidR="000127AA">
      <w:footerReference w:type="even" r:id="rId9"/>
      <w:footerReference w:type="default" r:id="rId10"/>
      <w:pgSz w:w="11907" w:h="16840"/>
      <w:pgMar w:top="1418" w:right="1418" w:bottom="1418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51" w:rsidRDefault="001B6A51">
      <w:pPr>
        <w:spacing w:after="0" w:line="240" w:lineRule="auto"/>
      </w:pPr>
      <w:r>
        <w:separator/>
      </w:r>
    </w:p>
  </w:endnote>
  <w:endnote w:type="continuationSeparator" w:id="0">
    <w:p w:rsidR="001B6A51" w:rsidRDefault="001B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38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+0"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AA" w:rsidRDefault="001B6A51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:rsidR="000127AA" w:rsidRDefault="000127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493249"/>
      <w:docPartObj>
        <w:docPartGallery w:val="Page Numbers (Bottom of Page)"/>
        <w:docPartUnique/>
      </w:docPartObj>
    </w:sdtPr>
    <w:sdtEndPr/>
    <w:sdtContent>
      <w:p w:rsidR="000127AA" w:rsidRDefault="001B6A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3ED">
          <w:rPr>
            <w:noProof/>
          </w:rPr>
          <w:t>1</w:t>
        </w:r>
        <w:r>
          <w:fldChar w:fldCharType="end"/>
        </w:r>
      </w:p>
    </w:sdtContent>
  </w:sdt>
  <w:p w:rsidR="000127AA" w:rsidRDefault="000127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51" w:rsidRDefault="001B6A51">
      <w:pPr>
        <w:spacing w:after="0" w:line="240" w:lineRule="auto"/>
      </w:pPr>
      <w:r>
        <w:separator/>
      </w:r>
    </w:p>
  </w:footnote>
  <w:footnote w:type="continuationSeparator" w:id="0">
    <w:p w:rsidR="001B6A51" w:rsidRDefault="001B6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792"/>
    <w:multiLevelType w:val="multilevel"/>
    <w:tmpl w:val="672C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multilevel"/>
    <w:tmpl w:val="060C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30D"/>
    <w:multiLevelType w:val="multilevel"/>
    <w:tmpl w:val="093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155"/>
    <w:multiLevelType w:val="multilevel"/>
    <w:tmpl w:val="2E74A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79C3"/>
    <w:multiLevelType w:val="multilevel"/>
    <w:tmpl w:val="0CD4A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D8D"/>
    <w:multiLevelType w:val="multilevel"/>
    <w:tmpl w:val="DD6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7E4"/>
    <w:multiLevelType w:val="multilevel"/>
    <w:tmpl w:val="772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multilevel"/>
    <w:tmpl w:val="E26494DC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04C9"/>
    <w:multiLevelType w:val="multilevel"/>
    <w:tmpl w:val="6AE67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multilevel"/>
    <w:tmpl w:val="337A1B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multilevel"/>
    <w:tmpl w:val="B69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176F"/>
    <w:multiLevelType w:val="multilevel"/>
    <w:tmpl w:val="AE380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C266C"/>
    <w:multiLevelType w:val="multilevel"/>
    <w:tmpl w:val="72A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00ECA"/>
    <w:multiLevelType w:val="multilevel"/>
    <w:tmpl w:val="1064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A1976"/>
    <w:multiLevelType w:val="multilevel"/>
    <w:tmpl w:val="E9700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86204"/>
    <w:multiLevelType w:val="multilevel"/>
    <w:tmpl w:val="8CDE8E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73110"/>
    <w:multiLevelType w:val="multilevel"/>
    <w:tmpl w:val="D5EEA74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multilevel"/>
    <w:tmpl w:val="B51451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171B9"/>
    <w:multiLevelType w:val="multilevel"/>
    <w:tmpl w:val="ECE4A5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5520"/>
    <w:multiLevelType w:val="multilevel"/>
    <w:tmpl w:val="A6881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00B56"/>
    <w:multiLevelType w:val="multilevel"/>
    <w:tmpl w:val="88629B5A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multilevel"/>
    <w:tmpl w:val="517C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302A7B"/>
    <w:multiLevelType w:val="multilevel"/>
    <w:tmpl w:val="29143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658BD"/>
    <w:multiLevelType w:val="multilevel"/>
    <w:tmpl w:val="F5008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B6B46"/>
    <w:multiLevelType w:val="multilevel"/>
    <w:tmpl w:val="7206BB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92EAD"/>
    <w:multiLevelType w:val="multilevel"/>
    <w:tmpl w:val="BE765A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125CA"/>
    <w:multiLevelType w:val="multilevel"/>
    <w:tmpl w:val="AAE82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A62BC"/>
    <w:multiLevelType w:val="multilevel"/>
    <w:tmpl w:val="A20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654A9"/>
    <w:multiLevelType w:val="multilevel"/>
    <w:tmpl w:val="F8A0BE5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98D4625"/>
    <w:multiLevelType w:val="multilevel"/>
    <w:tmpl w:val="F8627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B2253D"/>
    <w:multiLevelType w:val="multilevel"/>
    <w:tmpl w:val="BAEEC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CD3"/>
    <w:multiLevelType w:val="multilevel"/>
    <w:tmpl w:val="EE06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73FD7"/>
    <w:multiLevelType w:val="multilevel"/>
    <w:tmpl w:val="E558DD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23F3C"/>
    <w:multiLevelType w:val="multilevel"/>
    <w:tmpl w:val="5704C5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CA0A3D"/>
    <w:multiLevelType w:val="multilevel"/>
    <w:tmpl w:val="0F2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979A8"/>
    <w:multiLevelType w:val="multilevel"/>
    <w:tmpl w:val="E71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1520F"/>
    <w:multiLevelType w:val="multilevel"/>
    <w:tmpl w:val="5D18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AA"/>
    <w:rsid w:val="000127AA"/>
    <w:rsid w:val="001B6A51"/>
    <w:rsid w:val="006C309F"/>
    <w:rsid w:val="00C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C72709-213C-4A0D-AFE0-41BDA2E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</w:style>
  <w:style w:type="paragraph" w:styleId="Tijeloteksta-uvlaka2">
    <w:name w:val="Body Text Indent 2"/>
    <w:basedOn w:val="Normal"/>
    <w:link w:val="Tijeloteksta-uvlaka2Char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basedOn w:val="Normal"/>
    <w:link w:val="Tijeloteksta-uvlaka3Char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basedOn w:val="Zadanifontodlomka"/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semiHidden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semiHidden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CharChar1">
    <w:name w:val="Char Char1"/>
    <w:basedOn w:val="Zadanifontodlomka"/>
    <w:rPr>
      <w:i/>
      <w:iCs/>
      <w:u w:val="single"/>
      <w:lang w:val="hr-HR" w:eastAsia="en-US" w:bidi="ar-SA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basedOn w:val="Zadanifontodlomka"/>
    <w:qFormat/>
    <w:rPr>
      <w:b/>
      <w:bCs/>
    </w:rPr>
  </w:style>
  <w:style w:type="character" w:customStyle="1" w:styleId="uvlaka2CharChar">
    <w:name w:val="uvlaka 2 Char Char"/>
    <w:basedOn w:val="Zadanifontodlomka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basedOn w:val="Zadanifontodlomka"/>
    <w:rPr>
      <w:i/>
      <w:iCs/>
      <w:u w:val="single"/>
      <w:lang w:val="hr-HR" w:eastAsia="en-US" w:bidi="ar-SA"/>
    </w:rPr>
  </w:style>
  <w:style w:type="character" w:customStyle="1" w:styleId="CharChar11">
    <w:name w:val="Char Char1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basedOn w:val="Zadanifontodlomka"/>
    <w:rPr>
      <w:lang w:val="hr-HR" w:eastAsia="en-US" w:bidi="ar-SA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basedOn w:val="Zadanifontodlomka"/>
    <w:rPr>
      <w:sz w:val="24"/>
      <w:lang w:val="hr-HR" w:eastAsia="en-US" w:bidi="ar-SA"/>
    </w:rPr>
  </w:style>
  <w:style w:type="character" w:customStyle="1" w:styleId="CharChar5">
    <w:name w:val="Char Char5"/>
    <w:basedOn w:val="Zadanifontodlomka"/>
    <w:rPr>
      <w:sz w:val="24"/>
      <w:lang w:val="hr-HR" w:eastAsia="en-US" w:bidi="ar-SA"/>
    </w:rPr>
  </w:style>
  <w:style w:type="character" w:customStyle="1" w:styleId="CharChar18">
    <w:name w:val="Char Char18"/>
    <w:basedOn w:val="Zadanifontodlomka"/>
    <w:rPr>
      <w:i/>
      <w:iCs/>
      <w:u w:val="single"/>
      <w:lang w:val="hr-HR" w:eastAsia="en-US" w:bidi="ar-SA"/>
    </w:rPr>
  </w:style>
  <w:style w:type="character" w:customStyle="1" w:styleId="CharChar12">
    <w:name w:val="Char Char12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basedOn w:val="Zadanifontodlomka"/>
    <w:rPr>
      <w:sz w:val="24"/>
      <w:lang w:val="hr-HR" w:eastAsia="en-US" w:bidi="ar-SA"/>
    </w:rPr>
  </w:style>
  <w:style w:type="character" w:customStyle="1" w:styleId="Heading1Char1">
    <w:name w:val="Heading 1 Char1"/>
    <w:basedOn w:val="Zadanifontodlomka"/>
    <w:rPr>
      <w:i/>
      <w:iCs/>
      <w:u w:val="single"/>
      <w:lang w:val="hr-HR" w:eastAsia="en-US" w:bidi="ar-SA"/>
    </w:rPr>
  </w:style>
  <w:style w:type="paragraph" w:customStyle="1" w:styleId="Tekstkomentara1">
    <w:name w:val="Tekst komentara1"/>
    <w:basedOn w:val="Normal"/>
    <w:link w:val="Tekstkomentara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basedOn w:val="Zadanifontodlomka"/>
    <w:uiPriority w:val="9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basedOn w:val="Zadanifontodlomka"/>
    <w:uiPriority w:val="9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basedOn w:val="Zadanifontodlomka"/>
    <w:uiPriority w:val="99"/>
    <w:rPr>
      <w:i/>
      <w:iCs/>
      <w:u w:val="single"/>
      <w:lang w:val="hr-HR" w:eastAsia="en-US" w:bidi="ar-SA"/>
    </w:rPr>
  </w:style>
  <w:style w:type="character" w:customStyle="1" w:styleId="CharChar112">
    <w:name w:val="Char Char112"/>
    <w:basedOn w:val="Zadanifontodlomka"/>
    <w:uiPriority w:val="9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basedOn w:val="Zadanifontodlomka"/>
    <w:uiPriority w:val="99"/>
    <w:rPr>
      <w:lang w:val="hr-HR" w:eastAsia="en-US" w:bidi="ar-SA"/>
    </w:rPr>
  </w:style>
  <w:style w:type="character" w:customStyle="1" w:styleId="CharChar62">
    <w:name w:val="Char Char62"/>
    <w:basedOn w:val="Zadanifontodlomka"/>
    <w:uiPriority w:val="99"/>
    <w:rPr>
      <w:sz w:val="24"/>
      <w:lang w:val="hr-HR" w:eastAsia="en-US" w:bidi="ar-SA"/>
    </w:rPr>
  </w:style>
  <w:style w:type="character" w:customStyle="1" w:styleId="CharChar52">
    <w:name w:val="Char Char52"/>
    <w:basedOn w:val="Zadanifontodlomka"/>
    <w:uiPriority w:val="99"/>
    <w:rPr>
      <w:sz w:val="24"/>
      <w:lang w:val="hr-HR" w:eastAsia="en-US" w:bidi="ar-SA"/>
    </w:rPr>
  </w:style>
  <w:style w:type="character" w:customStyle="1" w:styleId="CharChar182">
    <w:name w:val="Char Char182"/>
    <w:basedOn w:val="Zadanifontodlomka"/>
    <w:uiPriority w:val="99"/>
    <w:rPr>
      <w:i/>
      <w:iCs/>
      <w:u w:val="single"/>
      <w:lang w:val="hr-HR" w:eastAsia="en-US" w:bidi="ar-SA"/>
    </w:rPr>
  </w:style>
  <w:style w:type="character" w:customStyle="1" w:styleId="CharChar122">
    <w:name w:val="Char Char122"/>
    <w:basedOn w:val="Zadanifontodlomka"/>
    <w:uiPriority w:val="9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basedOn w:val="Zadanifontodlomka"/>
    <w:uiPriority w:val="99"/>
    <w:rPr>
      <w:sz w:val="24"/>
      <w:lang w:val="hr-HR" w:eastAsia="en-US" w:bidi="ar-SA"/>
    </w:rPr>
  </w:style>
  <w:style w:type="character" w:customStyle="1" w:styleId="CharChar13">
    <w:name w:val="Char Char13"/>
    <w:basedOn w:val="Zadanifontodlomka"/>
    <w:uiPriority w:val="99"/>
    <w:rPr>
      <w:sz w:val="24"/>
      <w:lang w:val="hr-HR" w:eastAsia="en-US" w:bidi="ar-SA"/>
    </w:rPr>
  </w:style>
  <w:style w:type="character" w:customStyle="1" w:styleId="CharChar10">
    <w:name w:val="Char Char10"/>
    <w:basedOn w:val="Zadanifontodlomka"/>
    <w:uiPriority w:val="99"/>
    <w:rPr>
      <w:sz w:val="24"/>
      <w:lang w:val="hr-HR" w:eastAsia="en-US" w:bidi="ar-SA"/>
    </w:rPr>
  </w:style>
  <w:style w:type="character" w:customStyle="1" w:styleId="Heading1Char3">
    <w:name w:val="Heading 1 Char3"/>
    <w:basedOn w:val="Zadanifontodlomka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basedOn w:val="Zadanifontodlomka"/>
    <w:rPr>
      <w:lang w:val="hr-HR" w:eastAsia="en-US" w:bidi="ar-SA"/>
    </w:rPr>
  </w:style>
  <w:style w:type="character" w:customStyle="1" w:styleId="CharChar26">
    <w:name w:val="Char Char26"/>
    <w:basedOn w:val="Zadanifontodlomka"/>
    <w:uiPriority w:val="99"/>
    <w:rPr>
      <w:i/>
      <w:iCs/>
      <w:u w:val="single"/>
      <w:lang w:val="hr-HR" w:eastAsia="en-US" w:bidi="ar-SA"/>
    </w:rPr>
  </w:style>
  <w:style w:type="character" w:customStyle="1" w:styleId="CharChar20">
    <w:name w:val="Char Char20"/>
    <w:basedOn w:val="Zadanifontodlomka"/>
    <w:uiPriority w:val="9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basedOn w:val="Zadanifontodlomka"/>
    <w:uiPriority w:val="99"/>
    <w:rPr>
      <w:b/>
      <w:bCs/>
      <w:lang w:val="pl-PL" w:eastAsia="en-US" w:bidi="ar-SA"/>
    </w:rPr>
  </w:style>
  <w:style w:type="character" w:customStyle="1" w:styleId="CharChar14">
    <w:name w:val="Char Char14"/>
    <w:basedOn w:val="Zadanifontodlomka"/>
    <w:uiPriority w:val="9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basedOn w:val="Zadanifontodlomka"/>
    <w:uiPriority w:val="9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basedOn w:val="Zadanifontodlomka"/>
    <w:uiPriority w:val="99"/>
    <w:rPr>
      <w:sz w:val="24"/>
      <w:lang w:val="hr-HR" w:eastAsia="en-US" w:bidi="ar-SA"/>
    </w:rPr>
  </w:style>
  <w:style w:type="character" w:customStyle="1" w:styleId="uvlaka2CharChar1">
    <w:name w:val="uvlaka 2 Char Char1"/>
    <w:basedOn w:val="Zadanifontodlomka"/>
    <w:uiPriority w:val="99"/>
    <w:rPr>
      <w:lang w:val="pl-PL" w:eastAsia="en-US" w:bidi="ar-SA"/>
    </w:rPr>
  </w:style>
  <w:style w:type="character" w:customStyle="1" w:styleId="CharChar2">
    <w:name w:val="Char Char2"/>
    <w:basedOn w:val="Zadanifontodlomka"/>
    <w:uiPriority w:val="99"/>
    <w:rPr>
      <w:sz w:val="16"/>
      <w:szCs w:val="16"/>
      <w:lang w:val="en-US" w:eastAsia="en-US" w:bidi="ar-SA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</w:style>
  <w:style w:type="character" w:customStyle="1" w:styleId="CharChar34">
    <w:name w:val="Char Char34"/>
    <w:basedOn w:val="Zadanifontodlomka"/>
    <w:uiPriority w:val="99"/>
    <w:rPr>
      <w:i/>
      <w:iCs/>
      <w:u w:val="single"/>
      <w:lang w:val="hr-HR" w:eastAsia="en-US" w:bidi="ar-SA"/>
    </w:rPr>
  </w:style>
  <w:style w:type="character" w:customStyle="1" w:styleId="CharChar28">
    <w:name w:val="Char Char28"/>
    <w:basedOn w:val="Zadanifontodlomka"/>
    <w:uiPriority w:val="99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</w:style>
  <w:style w:type="character" w:customStyle="1" w:styleId="CharChar16">
    <w:name w:val="Char Char16"/>
    <w:basedOn w:val="Zadanifontodlomka"/>
    <w:uiPriority w:val="99"/>
    <w:rPr>
      <w:i/>
      <w:u w:val="single"/>
      <w:lang w:val="hr-HR" w:eastAsia="en-US"/>
    </w:rPr>
  </w:style>
  <w:style w:type="character" w:customStyle="1" w:styleId="uvlaka2CharChar2">
    <w:name w:val="uvlaka 2 Char Char2"/>
    <w:basedOn w:val="Zadanifontodlomka"/>
    <w:uiPriority w:val="99"/>
    <w:rPr>
      <w:lang w:val="pl-PL" w:eastAsia="en-US"/>
    </w:rPr>
  </w:style>
  <w:style w:type="character" w:customStyle="1" w:styleId="CharChar171">
    <w:name w:val="Char Char171"/>
    <w:basedOn w:val="Zadanifontodlomka"/>
    <w:uiPriority w:val="99"/>
    <w:rPr>
      <w:i/>
      <w:u w:val="single"/>
      <w:lang w:val="hr-HR" w:eastAsia="en-US"/>
    </w:rPr>
  </w:style>
  <w:style w:type="character" w:customStyle="1" w:styleId="CharChar111">
    <w:name w:val="Char Char111"/>
    <w:basedOn w:val="Zadanifontodlomka"/>
    <w:uiPriority w:val="99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basedOn w:val="Zadanifontodlomka"/>
    <w:uiPriority w:val="99"/>
    <w:rPr>
      <w:lang w:val="hr-HR" w:eastAsia="en-US"/>
    </w:rPr>
  </w:style>
  <w:style w:type="character" w:customStyle="1" w:styleId="CharChar61">
    <w:name w:val="Char Char61"/>
    <w:basedOn w:val="Zadanifontodlomka"/>
    <w:uiPriority w:val="99"/>
    <w:rPr>
      <w:sz w:val="24"/>
      <w:lang w:val="hr-HR" w:eastAsia="en-US"/>
    </w:rPr>
  </w:style>
  <w:style w:type="character" w:customStyle="1" w:styleId="CharChar51">
    <w:name w:val="Char Char51"/>
    <w:basedOn w:val="Zadanifontodlomka"/>
    <w:uiPriority w:val="99"/>
    <w:rPr>
      <w:sz w:val="24"/>
      <w:lang w:val="hr-HR" w:eastAsia="en-US"/>
    </w:rPr>
  </w:style>
  <w:style w:type="character" w:customStyle="1" w:styleId="CharChar181">
    <w:name w:val="Char Char181"/>
    <w:basedOn w:val="Zadanifontodlomka"/>
    <w:uiPriority w:val="99"/>
    <w:rPr>
      <w:i/>
      <w:u w:val="single"/>
      <w:lang w:val="hr-HR" w:eastAsia="en-US"/>
    </w:rPr>
  </w:style>
  <w:style w:type="character" w:customStyle="1" w:styleId="CharChar121">
    <w:name w:val="Char Char121"/>
    <w:basedOn w:val="Zadanifontodlomka"/>
    <w:uiPriority w:val="99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basedOn w:val="Zadanifontodlomka"/>
    <w:uiPriority w:val="99"/>
    <w:rPr>
      <w:sz w:val="24"/>
      <w:lang w:val="hr-HR" w:eastAsia="en-US"/>
    </w:rPr>
  </w:style>
  <w:style w:type="paragraph" w:customStyle="1" w:styleId="Odlomakpopisa10">
    <w:name w:val="Odlomak popisa1_0"/>
    <w:basedOn w:val="Normal"/>
    <w:uiPriority w:val="99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</w:style>
  <w:style w:type="table" w:customStyle="1" w:styleId="TableGrid2">
    <w:name w:val="Table Grid2"/>
    <w:basedOn w:val="Obinatablica"/>
    <w:next w:val="Reetkatablice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</w:style>
  <w:style w:type="character" w:customStyle="1" w:styleId="CharChar21">
    <w:name w:val="Char Char2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basedOn w:val="Zadanifontodlomka"/>
    <w:rPr>
      <w:lang w:val="hr-HR" w:eastAsia="en-US" w:bidi="ar-SA"/>
    </w:rPr>
  </w:style>
  <w:style w:type="character" w:customStyle="1" w:styleId="CharChar341">
    <w:name w:val="Char Char341"/>
    <w:basedOn w:val="Zadanifontodlomka"/>
    <w:rPr>
      <w:i/>
      <w:iCs/>
      <w:u w:val="single"/>
      <w:lang w:val="hr-HR" w:eastAsia="en-US" w:bidi="ar-SA"/>
    </w:rPr>
  </w:style>
  <w:style w:type="character" w:customStyle="1" w:styleId="CharChar281">
    <w:name w:val="Char Char28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basedOn w:val="Zadanifontodlomka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basedOn w:val="Zadanifontodlomka"/>
    <w:rPr>
      <w:i/>
      <w:iCs/>
      <w:u w:val="single"/>
      <w:lang w:val="hr-HR" w:eastAsia="en-US" w:bidi="ar-SA"/>
    </w:rPr>
  </w:style>
  <w:style w:type="character" w:customStyle="1" w:styleId="CharChar201">
    <w:name w:val="Char Char20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basedOn w:val="Zadanifontodlomka"/>
    <w:rPr>
      <w:rFonts w:ascii="Arial" w:hAnsi="Arial" w:cs="Times New Roman"/>
      <w:b/>
      <w:sz w:val="20"/>
      <w:lang w:eastAsia="hr-HR"/>
    </w:rPr>
  </w:style>
  <w:style w:type="character" w:customStyle="1" w:styleId="CharChar173">
    <w:name w:val="Char Char173"/>
    <w:basedOn w:val="Zadanifontodlomka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basedOn w:val="Zadanifontodlomka"/>
    <w:rPr>
      <w:rFonts w:ascii="Times New Roman" w:hAnsi="Times New Roman" w:cs="Times New Roman"/>
      <w:sz w:val="20"/>
    </w:rPr>
  </w:style>
  <w:style w:type="character" w:customStyle="1" w:styleId="CharChar63">
    <w:name w:val="Char Char63"/>
    <w:basedOn w:val="Zadanifontodlomka"/>
    <w:rPr>
      <w:rFonts w:ascii="Times New Roman" w:hAnsi="Times New Roman" w:cs="Times New Roman"/>
      <w:sz w:val="20"/>
    </w:rPr>
  </w:style>
  <w:style w:type="character" w:customStyle="1" w:styleId="CharChar53">
    <w:name w:val="Char Char53"/>
    <w:basedOn w:val="Zadanifontodlomka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basedOn w:val="Zadanifontodlomka"/>
    <w:rPr>
      <w:lang w:val="pl-PL" w:eastAsia="en-US" w:bidi="ar-SA"/>
    </w:rPr>
  </w:style>
  <w:style w:type="character" w:customStyle="1" w:styleId="uvlaka2CharChar4">
    <w:name w:val="uvlaka 2 Char Char4"/>
    <w:basedOn w:val="Zadanifontodlomka"/>
    <w:rPr>
      <w:lang w:val="pl-PL" w:eastAsia="en-US" w:bidi="ar-SA"/>
    </w:rPr>
  </w:style>
  <w:style w:type="character" w:customStyle="1" w:styleId="BodyTextIndent3Char2">
    <w:name w:val="Body Text Indent 3 Char2"/>
    <w:basedOn w:val="Zadanifontodlomka"/>
    <w:uiPriority w:val="99"/>
    <w:rPr>
      <w:rFonts w:ascii="Times New Roman" w:hAnsi="Times New Roman"/>
      <w:sz w:val="16"/>
      <w:lang w:eastAsia="en-US"/>
    </w:rPr>
  </w:style>
  <w:style w:type="paragraph" w:customStyle="1" w:styleId="ListParagraph3">
    <w:name w:val="List Paragraph3"/>
    <w:basedOn w:val="Normal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basedOn w:val="Zadanifontodlomka"/>
    <w:rPr>
      <w:sz w:val="24"/>
      <w:lang w:val="hr-HR" w:eastAsia="en-US" w:bidi="ar-SA"/>
    </w:rPr>
  </w:style>
  <w:style w:type="character" w:customStyle="1" w:styleId="CharChar101">
    <w:name w:val="Char Char101"/>
    <w:basedOn w:val="Zadanifontodlomka"/>
    <w:rPr>
      <w:sz w:val="24"/>
      <w:lang w:val="hr-HR" w:eastAsia="en-US" w:bidi="ar-SA"/>
    </w:rPr>
  </w:style>
  <w:style w:type="character" w:customStyle="1" w:styleId="CharChar151">
    <w:name w:val="Char Char151"/>
    <w:basedOn w:val="Zadanifontodlomka"/>
    <w:rPr>
      <w:b/>
      <w:bCs/>
      <w:lang w:val="pl-PL" w:eastAsia="en-US" w:bidi="ar-SA"/>
    </w:rPr>
  </w:style>
  <w:style w:type="character" w:customStyle="1" w:styleId="CharChar141">
    <w:name w:val="Char Char141"/>
    <w:basedOn w:val="Zadanifontodlomka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basedOn w:val="Zadanifontodlomka"/>
    <w:rPr>
      <w:b/>
      <w:bCs/>
      <w:sz w:val="16"/>
      <w:lang w:val="hr-HR" w:eastAsia="en-US" w:bidi="ar-SA"/>
    </w:rPr>
  </w:style>
  <w:style w:type="character" w:customStyle="1" w:styleId="CharChar91">
    <w:name w:val="Char Char91"/>
    <w:basedOn w:val="Zadanifontodlomk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basedOn w:val="Zadanifontodlomka"/>
    <w:rPr>
      <w:i/>
      <w:sz w:val="24"/>
      <w:lang w:val="hr-HR" w:eastAsia="hr-HR" w:bidi="ar-SA"/>
    </w:rPr>
  </w:style>
  <w:style w:type="character" w:customStyle="1" w:styleId="CharChar41">
    <w:name w:val="Char Char41"/>
    <w:basedOn w:val="Zadanifontodlomka"/>
    <w:rPr>
      <w:sz w:val="24"/>
      <w:lang w:val="hr-HR" w:eastAsia="en-US" w:bidi="ar-SA"/>
    </w:rPr>
  </w:style>
  <w:style w:type="character" w:customStyle="1" w:styleId="CharChar23">
    <w:name w:val="Char Char23"/>
    <w:basedOn w:val="Zadanifontodlomka"/>
    <w:rPr>
      <w:sz w:val="16"/>
      <w:szCs w:val="16"/>
      <w:lang w:val="en-US" w:eastAsia="en-US" w:bidi="ar-SA"/>
    </w:rPr>
  </w:style>
  <w:style w:type="character" w:customStyle="1" w:styleId="CharChar110">
    <w:name w:val="Char Char110"/>
    <w:basedOn w:val="Zadanifontodlomka"/>
    <w:rPr>
      <w:i/>
      <w:iCs/>
      <w:u w:val="single"/>
      <w:lang w:val="hr-HR" w:eastAsia="en-US" w:bidi="ar-SA"/>
    </w:rPr>
  </w:style>
  <w:style w:type="character" w:customStyle="1" w:styleId="Referencakomentara1">
    <w:name w:val="Referenca komentara1"/>
    <w:basedOn w:val="Zadanifontodlomka"/>
    <w:rPr>
      <w:sz w:val="16"/>
      <w:szCs w:val="16"/>
    </w:rPr>
  </w:style>
  <w:style w:type="paragraph" w:customStyle="1" w:styleId="Predmetkomentara1">
    <w:name w:val="Predmet komentara1"/>
    <w:basedOn w:val="Tekstkomentara1"/>
    <w:next w:val="Tekstkomentara1"/>
    <w:link w:val="PredmetkomentaraChar"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Times New Roman" w:hAnsi="Calibri" w:cs="Times New Roman"/>
    </w:rPr>
  </w:style>
  <w:style w:type="paragraph" w:customStyle="1" w:styleId="box469218">
    <w:name w:val="box_46921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76FB-7EE8-40C8-9A8C-DF935046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GODIŠNJEG IZVJEŠTAJA O IZVRŠENJU FINANCIJSKOG PLANA PRORAČUNSKOG KORISNIKA             ZA 2025. GODINU</vt:lpstr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GODIŠNJEG IZVJEŠTAJA O IZVRŠENJU FINANCIJSKOG PLANA PRORAČUNSKOG KORISNIKA             ZA 2025. GODINU</dc:title>
  <dc:creator>Melita Kralik</dc:creator>
  <cp:lastModifiedBy>Silvio</cp:lastModifiedBy>
  <cp:revision>3</cp:revision>
  <cp:lastPrinted>2023-08-25T07:52:00Z</cp:lastPrinted>
  <dcterms:created xsi:type="dcterms:W3CDTF">2026-03-27T10:43:00Z</dcterms:created>
  <dcterms:modified xsi:type="dcterms:W3CDTF">2026-03-27T10:47:00Z</dcterms:modified>
</cp:coreProperties>
</file>